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254 от 10.12.2025</w:t>
      </w:r>
    </w:p>
    <w:p>
      <w:pPr>
        <w:jc w:val="both"/>
        <w:rPr>
          <w:sz w:val="28"/>
          <w:lang w:val="en-US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1883667"/>
                <wp:effectExtent l="19050" t="0" r="0" b="0"/>
                <wp:docPr id="1" name="Рисунок 3" descr="C:\Users\y.nurumov\Documents\БЛАНК БНС\Шапка приказа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y.nurumov\Documents\БЛАНК БНС\Шапка приказа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80174" cy="1883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10.2pt;height:148.3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sz w:val="28"/>
          <w:lang w:val="en-US"/>
        </w:rPr>
      </w:pPr>
      <w:r>
        <w:rPr>
          <w:sz w:val="28"/>
          <w:lang w:val="en-US"/>
        </w:rPr>
      </w:r>
      <w:r/>
    </w:p>
    <w:p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«2025 жылы Қазақстан Республикасы ұлттық ауыл шаруашылығы </w:t>
      </w:r>
      <w:r/>
    </w:p>
    <w:p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санағын жүргізу жөніндегі іс-шаралардың жоспарын бекіту туралы» Қазақстан Республикасы Стратегиялық жоспарлау және реформалар агенттігінің Ұлттық статистика бюросы басшысының 2024 жылғы 16 қаңтардағы № 5 бұйрығына өзгерістер енгізу туралы</w:t>
      </w:r>
      <w:r/>
    </w:p>
    <w:p>
      <w:pPr>
        <w:jc w:val="both"/>
        <w:rPr>
          <w:sz w:val="28"/>
          <w:szCs w:val="28"/>
          <w:lang w:val="kk-KZ"/>
        </w:rPr>
      </w:pPr>
      <w:r/>
      <w:bookmarkStart w:id="0" w:name="z2"/>
      <w:r/>
      <w:r/>
    </w:p>
    <w:p>
      <w:pPr>
        <w:ind w:left="709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БҰЙЫРАМЫН</w:t>
      </w:r>
      <w:r>
        <w:rPr>
          <w:color w:val="000000"/>
          <w:sz w:val="28"/>
          <w:szCs w:val="28"/>
          <w:lang w:val="kk-KZ"/>
        </w:rPr>
        <w:t xml:space="preserve">:</w:t>
      </w:r>
      <w:bookmarkEnd w:id="0"/>
      <w:r/>
    </w:p>
    <w:p>
      <w:pPr>
        <w:pStyle w:val="744"/>
        <w:numPr>
          <w:ilvl w:val="0"/>
          <w:numId w:val="19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</w:t>
      </w:r>
      <w:r>
        <w:rPr>
          <w:color w:val="000000"/>
          <w:sz w:val="28"/>
          <w:szCs w:val="28"/>
          <w:lang w:val="kk-KZ"/>
        </w:rPr>
        <w:t xml:space="preserve">2025 жылы Қазақстан Республикасы ұлттық ауыл шаруашылығы санағын жүргізу жөніндегі іс-шаралардың жоспарын бекіту туралы</w:t>
      </w:r>
      <w:r>
        <w:rPr>
          <w:sz w:val="28"/>
          <w:szCs w:val="28"/>
          <w:lang w:val="kk-KZ"/>
        </w:rPr>
        <w:t xml:space="preserve">» Қазақстан Республикасы Стратегиялық жоспарлау және реформалар агенттігінің Ұлттық статистика бюросы басшысының 2024 жылғы 16 қаңтардағы № 5 бұйрығына мынадай өзгерістер енгізілсін:</w:t>
      </w:r>
      <w:r/>
    </w:p>
    <w:p>
      <w:pPr>
        <w:pStyle w:val="744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көрсетілген бұйрықпен бекітілген 2025 жылы Қазақстан Республикасы ұлттық ауыл шаруашылығы санағын жүргізу жөніндегі іс-шаралар жоспарында:</w:t>
      </w:r>
      <w:r/>
    </w:p>
    <w:p>
      <w:pPr>
        <w:pStyle w:val="744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реттік нөмірі </w:t>
      </w:r>
      <w:r>
        <w:rPr>
          <w:sz w:val="28"/>
          <w:szCs w:val="28"/>
          <w:lang w:val="kk-KZ"/>
        </w:rPr>
        <w:t xml:space="preserve">22</w:t>
      </w:r>
      <w:r>
        <w:rPr>
          <w:sz w:val="28"/>
          <w:szCs w:val="28"/>
          <w:lang w:val="kk-KZ"/>
        </w:rPr>
        <w:t xml:space="preserve">-ж</w:t>
      </w:r>
      <w:r>
        <w:rPr>
          <w:sz w:val="28"/>
          <w:szCs w:val="28"/>
          <w:lang w:val="kk-KZ"/>
        </w:rPr>
        <w:t xml:space="preserve">ол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мынадай редакцияда жазылсын: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</w:t>
      </w:r>
      <w:r/>
    </w:p>
    <w:tbl>
      <w:tblPr>
        <w:tblStyle w:val="74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45"/>
        <w:gridCol w:w="1023"/>
        <w:gridCol w:w="1276"/>
        <w:gridCol w:w="2268"/>
        <w:gridCol w:w="152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22</w:t>
            </w:r>
            <w:r>
              <w:rPr>
                <w:sz w:val="20"/>
                <w:szCs w:val="20"/>
                <w:lang w:val="kk-KZ"/>
              </w:rPr>
              <w:t xml:space="preserve">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2025 жылғы Қазақстан Республикасының ұлттық ауыл шаруашылығы санағының дерекқорларын өңдеу</w:t>
            </w:r>
            <w:r/>
          </w:p>
        </w:tc>
        <w:tc>
          <w:tcPr>
            <w:tcW w:w="1245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шығыс кестелерін қалыптастыру</w:t>
            </w:r>
            <w:r/>
          </w:p>
        </w:tc>
        <w:tc>
          <w:tcPr>
            <w:tcW w:w="1023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СЖРА ҰСБ,  АЕО РМК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43"/>
              <w:jc w:val="left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2025 жылғы</w:t>
            </w:r>
            <w:r/>
          </w:p>
          <w:p>
            <w:pPr>
              <w:pStyle w:val="743"/>
              <w:jc w:val="left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IV тоқсан</w:t>
            </w:r>
            <w:r>
              <w:rPr>
                <w:sz w:val="20"/>
                <w:szCs w:val="20"/>
                <w:lang w:val="kk-KZ"/>
              </w:rPr>
              <w:t xml:space="preserve"> -</w:t>
            </w:r>
            <w:r/>
          </w:p>
          <w:p>
            <w:pPr>
              <w:pStyle w:val="743"/>
              <w:jc w:val="center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pStyle w:val="743"/>
              <w:jc w:val="left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2026 жылғы</w:t>
            </w:r>
            <w:r/>
          </w:p>
          <w:p>
            <w:pPr>
              <w:pStyle w:val="743"/>
              <w:jc w:val="left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IV тоқсан</w:t>
            </w:r>
            <w:r/>
          </w:p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002 «Статистикалық ақпаратты ұсынуды қамтамасыз ету» бюджеттік бағдарламасы 101 «Қазақстан Республикасының ұлттық халық санағын және ауыл шаруашылығы санағын жүргізу» кіші бағдарламасы шеңберінде бөлінген қаражат шегінде </w:t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республикалық бюджет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»;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реттік нөмірі 23-жол мынадай </w:t>
      </w:r>
      <w:r>
        <w:rPr>
          <w:sz w:val="28"/>
          <w:szCs w:val="28"/>
          <w:lang w:val="kk-KZ"/>
        </w:rPr>
        <w:t xml:space="preserve">мынадай редакцияда жазылсын</w:t>
      </w:r>
      <w:r>
        <w:rPr>
          <w:sz w:val="28"/>
          <w:szCs w:val="28"/>
          <w:lang w:val="kk-KZ"/>
        </w:rPr>
        <w:t xml:space="preserve">: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</w:t>
      </w:r>
      <w:r/>
    </w:p>
    <w:tbl>
      <w:tblPr>
        <w:tblStyle w:val="74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45"/>
        <w:gridCol w:w="1023"/>
        <w:gridCol w:w="1276"/>
        <w:gridCol w:w="2268"/>
        <w:gridCol w:w="152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23</w:t>
            </w:r>
            <w:r>
              <w:rPr>
                <w:sz w:val="20"/>
                <w:szCs w:val="20"/>
                <w:lang w:val="kk-KZ"/>
              </w:rPr>
              <w:t xml:space="preserve">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2025 жылғы Қазақстан Республикасының ұлттық ауыл шаруашылығы санағының қор</w:t>
            </w:r>
            <w:r>
              <w:rPr>
                <w:sz w:val="20"/>
                <w:szCs w:val="20"/>
                <w:lang w:val="kk-KZ"/>
              </w:rPr>
              <w:t xml:space="preserve">ы</w:t>
            </w:r>
            <w:r>
              <w:rPr>
                <w:sz w:val="20"/>
                <w:szCs w:val="20"/>
                <w:lang w:val="kk-KZ"/>
              </w:rPr>
              <w:t xml:space="preserve">тындыларын қалыптастыру және жариялау</w:t>
            </w:r>
            <w:r>
              <w:rPr>
                <w:sz w:val="20"/>
                <w:szCs w:val="20"/>
                <w:lang w:val="kk-KZ"/>
              </w:rPr>
              <w:t xml:space="preserve">:</w:t>
            </w:r>
            <w:bookmarkStart w:id="1" w:name="_GoBack"/>
            <w:r/>
            <w:bookmarkEnd w:id="1"/>
            <w:r/>
            <w:r/>
          </w:p>
          <w:p>
            <w:pPr>
              <w:pStyle w:val="744"/>
              <w:numPr>
                <w:ilvl w:val="0"/>
                <w:numId w:val="21"/>
              </w:numPr>
              <w:ind w:left="0" w:firstLine="0"/>
              <w:jc w:val="both"/>
              <w:tabs>
                <w:tab w:val="left" w:pos="312" w:leader="none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қысқаша алдын ала </w:t>
            </w:r>
            <w:r>
              <w:rPr>
                <w:sz w:val="20"/>
                <w:szCs w:val="20"/>
                <w:lang w:val="kk-KZ"/>
              </w:rPr>
              <w:t xml:space="preserve">қорытындылар</w:t>
            </w:r>
            <w:r/>
          </w:p>
          <w:p>
            <w:pPr>
              <w:pStyle w:val="744"/>
              <w:numPr>
                <w:ilvl w:val="0"/>
                <w:numId w:val="21"/>
              </w:numPr>
              <w:ind w:left="0" w:firstLine="0"/>
              <w:jc w:val="both"/>
              <w:tabs>
                <w:tab w:val="left" w:pos="312" w:leader="none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түпкілікті егжей-тегжейлі қорытындылар</w:t>
            </w:r>
            <w:r/>
          </w:p>
        </w:tc>
        <w:tc>
          <w:tcPr>
            <w:tcW w:w="1245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статистикалық жарияланымдар</w:t>
            </w:r>
            <w:r/>
          </w:p>
        </w:tc>
        <w:tc>
          <w:tcPr>
            <w:tcW w:w="1023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СЖРА ҰСБ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43"/>
              <w:numPr>
                <w:ilvl w:val="0"/>
                <w:numId w:val="20"/>
              </w:numPr>
              <w:ind w:left="0" w:firstLine="0"/>
              <w:jc w:val="left"/>
              <w:spacing w:before="0" w:beforeAutospacing="0" w:after="0" w:afterAutospacing="0"/>
              <w:tabs>
                <w:tab w:val="left" w:pos="33" w:leader="none"/>
                <w:tab w:val="left" w:pos="316" w:leader="none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2025 жылғы</w:t>
            </w:r>
            <w:r/>
          </w:p>
          <w:p>
            <w:pPr>
              <w:pStyle w:val="743"/>
              <w:jc w:val="left"/>
              <w:spacing w:before="0" w:beforeAutospacing="0" w:after="0" w:afterAutospacing="0"/>
              <w:tabs>
                <w:tab w:val="left" w:pos="33" w:leader="none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желтоқсан – 2026 жылғы қаңтар</w:t>
            </w:r>
            <w:r/>
          </w:p>
          <w:p>
            <w:pPr>
              <w:pStyle w:val="743"/>
              <w:numPr>
                <w:ilvl w:val="0"/>
                <w:numId w:val="20"/>
              </w:numPr>
              <w:ind w:left="0" w:firstLine="0"/>
              <w:jc w:val="left"/>
              <w:spacing w:before="0" w:beforeAutospacing="0" w:after="0" w:afterAutospacing="0"/>
              <w:tabs>
                <w:tab w:val="left" w:pos="33" w:leader="none"/>
                <w:tab w:val="left" w:pos="316" w:leader="none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2026 жылғы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II</w:t>
            </w:r>
            <w:r>
              <w:rPr>
                <w:sz w:val="20"/>
                <w:szCs w:val="20"/>
                <w:lang w:val="kk-KZ"/>
              </w:rPr>
              <w:t xml:space="preserve">I- IV тоқсан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002 «Статистикалық ақпаратты ұсынуды қамтамасыз ету» бюджеттік бағдарламасы 101 «Қазақстан Республикасының ұлттық халық санағын және ауыл шаруашылығы санағын жүргізу» кіші бағдарламасы шеңберінде бөлінген қаражат шегінде </w:t>
            </w:r>
            <w:r/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  <w:r/>
          </w:p>
        </w:tc>
        <w:tc>
          <w:tcPr>
            <w:tcW w:w="15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республикалық бюджет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».</w:t>
      </w:r>
      <w:r/>
    </w:p>
    <w:p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заңнамада белгіленген тәртіппен:</w:t>
      </w:r>
      <w:r/>
    </w:p>
    <w:p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осы бұйрықты Қазақстан Республикасы Стратегиялық жоспарлау және реформалар агенттігі Ұлттық статистика бюросының интернет-ресурсында орналастыруды</w:t>
      </w:r>
      <w:r>
        <w:rPr>
          <w:color w:val="000000"/>
          <w:sz w:val="28"/>
          <w:szCs w:val="28"/>
          <w:lang w:val="kk-KZ"/>
        </w:rPr>
        <w:t xml:space="preserve">;</w:t>
      </w:r>
      <w:r/>
    </w:p>
    <w:p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 xml:space="preserve">осы бұйрықты қазақ және орыс тілдерінде Қазақста</w:t>
      </w:r>
      <w:r>
        <w:rPr>
          <w:sz w:val="28"/>
          <w:szCs w:val="28"/>
          <w:lang w:val="kk-KZ"/>
        </w:rPr>
        <w:t xml:space="preserve">н Республикасының нормативтік құқықтық актілерінің Эталондық бақылау банкінде ресми жариялау және енгізу үшін «Қазақстан Республикасының заңнама және құқықтық ақпарат институты» шаруашылық жүргізу құқығындағы республикалық мемлекеттік кәсіпорнына жіберуді;</w:t>
      </w:r>
      <w:r/>
    </w:p>
    <w:p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3) </w:t>
      </w:r>
      <w:r>
        <w:rPr>
          <w:sz w:val="28"/>
          <w:szCs w:val="28"/>
          <w:lang w:val="kk-KZ"/>
        </w:rPr>
        <w:t xml:space="preserve">осы бұйрықты мүдделі мемлекеттік және жергілікті атқарушы органдарға, </w:t>
      </w:r>
      <w:r>
        <w:rPr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</w:t>
      </w:r>
      <w:r>
        <w:rPr>
          <w:color w:val="000000"/>
          <w:sz w:val="28"/>
          <w:szCs w:val="28"/>
          <w:lang w:val="kk-KZ"/>
        </w:rPr>
        <w:t xml:space="preserve"> бюросының құрылымдық және аумақтық бөлімшелеріне және «Қазақстан Республикасының Стратегиялық жоспарлау және реформалар агенттігі Ұлттық статистика бюросының Ақпараттық-есептеу орталығы» шаруашылық жүргізу құқығындағы республикалық мемлекеттік кәсіпорнына</w:t>
      </w:r>
      <w:r>
        <w:rPr>
          <w:sz w:val="28"/>
          <w:szCs w:val="28"/>
          <w:lang w:val="kk-KZ"/>
        </w:rPr>
        <w:t xml:space="preserve"> мәлімет үшін жеткізуді қамтамасыз етсін</w:t>
      </w:r>
      <w:r>
        <w:rPr>
          <w:color w:val="000000"/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 Осы бұйрықтың орындалуын бақылау</w:t>
      </w:r>
      <w:r>
        <w:rPr>
          <w:color w:val="000000"/>
          <w:sz w:val="28"/>
          <w:szCs w:val="28"/>
          <w:lang w:val="kk-KZ"/>
        </w:rPr>
        <w:t xml:space="preserve">ды өзіме қалдырамын</w:t>
      </w:r>
      <w:r>
        <w:rPr>
          <w:color w:val="000000"/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Осы бұйрық қол қойылған күнінен бастап қолданысқа енгізіледі</w:t>
      </w:r>
      <w:r>
        <w:rPr>
          <w:sz w:val="28"/>
          <w:szCs w:val="28"/>
          <w:lang w:val="kk-KZ"/>
        </w:rPr>
        <w:t xml:space="preserve">.</w:t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/>
    </w:p>
    <w:tbl>
      <w:tblPr>
        <w:tblStyle w:val="7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12"/>
        <w:gridCol w:w="3402"/>
      </w:tblGrid>
      <w:tr>
        <w:trPr/>
        <w:tc>
          <w:tcPr>
            <w:tcW w:w="6912" w:type="dxa"/>
            <w:textDirection w:val="lrTb"/>
            <w:noWrap w:val="false"/>
          </w:tcPr>
          <w:p>
            <w:pPr>
              <w:ind w:firstLine="709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Қазақстан Республикасы </w:t>
            </w:r>
            <w:r/>
          </w:p>
          <w:p>
            <w:pPr>
              <w:ind w:firstLine="709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Стратегиялық жоспарлау және </w:t>
            </w:r>
            <w:r/>
          </w:p>
          <w:p>
            <w:pPr>
              <w:ind w:firstLine="709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реформалар агенттігінің </w:t>
            </w:r>
            <w:r/>
          </w:p>
          <w:p>
            <w:pPr>
              <w:ind w:left="709"/>
              <w:rPr>
                <w:b/>
                <w:sz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Ұлттық статистика бюросы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br/>
              <w:t xml:space="preserve">басшысының м.а.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</w:r>
            <w:r/>
          </w:p>
          <w:p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</w:r>
            <w:r/>
          </w:p>
          <w:p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</w:r>
            <w:r/>
          </w:p>
          <w:p>
            <w:pPr>
              <w:jc w:val="right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 </w:t>
            </w:r>
            <w:r/>
          </w:p>
          <w:p>
            <w:pPr>
              <w:jc w:val="right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Ә</w:t>
            </w:r>
            <w:r>
              <w:rPr>
                <w:b/>
                <w:sz w:val="28"/>
                <w:lang w:val="kk-KZ"/>
              </w:rPr>
              <w:t xml:space="preserve">. </w:t>
            </w:r>
            <w:r>
              <w:rPr>
                <w:b/>
                <w:sz w:val="28"/>
                <w:lang w:val="kk-KZ"/>
              </w:rPr>
              <w:t xml:space="preserve">Шауенова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700" w:leader="none"/>
        </w:tabs>
        <w:rPr>
          <w:sz w:val="28"/>
        </w:rPr>
      </w:pP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08" w:equalWidth="1"/>
      <w:docGrid w:linePitch="360"/>
      <w:titlePg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16:40 Джартыбаева Асель Кайрулловна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16:55 Тлеубаев Арманбек Кенесович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16:58 Сарсенбаев Нұржан Орынтайұлы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17:34 Башикова Жанат Жомартовна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18:41 Зеленая Юлия Анатольевна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11:47 Шауенова Ә. С. ((и.о Турлубаев М. К.))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Гельветика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10.12.2025 15:00.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10.12.2025 15:00.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70089508"/>
      <w:docPartObj>
        <w:docPartGallery w:val="Page Numbers (Top of Page)"/>
        <w:docPartUnique w:val="true"/>
      </w:docPartObj>
      <w:rPr/>
    </w:sdtPr>
    <w:sdtContent>
      <w:p>
        <w:pPr>
          <w:pStyle w:val="7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5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стратегическому планированию и реформам Республики Казахстан - Жумабаева Н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50" w:hanging="1650"/>
        <w:tabs>
          <w:tab w:val="num" w:pos="1650" w:leader="none"/>
        </w:tabs>
      </w:pPr>
      <w:rPr>
        <w:rFonts w:ascii="Times New Roman" w:hAnsi="Times New Roman" w:cs="Times New Roman" w:eastAsia="Times New Roman"/>
      </w:rPr>
    </w:lvl>
    <w:lvl w:ilvl="1">
      <w:start w:val="2"/>
      <w:numFmt w:val="decimal"/>
      <w:isLgl w:val="false"/>
      <w:suff w:val="tab"/>
      <w:lvlText w:val="%2."/>
      <w:lvlJc w:val="left"/>
      <w:pPr>
        <w:ind w:left="2550" w:hanging="1650"/>
        <w:tabs>
          <w:tab w:val="num" w:pos="2550" w:leader="none"/>
        </w:tabs>
      </w:pPr>
      <w:rPr>
        <w:rFonts w:ascii="Times New Roman" w:hAnsi="Times New Roman" w:cs="Times New Roman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0" w:hanging="1650"/>
        <w:tabs>
          <w:tab w:val="num" w:pos="30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0" w:hanging="1650"/>
        <w:tabs>
          <w:tab w:val="num" w:pos="38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30" w:hanging="1650"/>
        <w:tabs>
          <w:tab w:val="num" w:pos="453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50" w:hanging="1650"/>
        <w:tabs>
          <w:tab w:val="num" w:pos="525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95" w:hanging="360"/>
        <w:tabs>
          <w:tab w:val="num" w:pos="79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  <w:tabs>
          <w:tab w:val="num" w:pos="15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  <w:tabs>
          <w:tab w:val="num" w:pos="22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  <w:tabs>
          <w:tab w:val="num" w:pos="29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  <w:tabs>
          <w:tab w:val="num" w:pos="36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  <w:tabs>
          <w:tab w:val="num" w:pos="43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  <w:tabs>
          <w:tab w:val="num" w:pos="51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  <w:tabs>
          <w:tab w:val="num" w:pos="58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  <w:tabs>
          <w:tab w:val="num" w:pos="6555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95" w:hanging="360"/>
        <w:tabs>
          <w:tab w:val="num" w:pos="79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  <w:tabs>
          <w:tab w:val="num" w:pos="15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  <w:tabs>
          <w:tab w:val="num" w:pos="22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  <w:tabs>
          <w:tab w:val="num" w:pos="29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  <w:tabs>
          <w:tab w:val="num" w:pos="36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  <w:tabs>
          <w:tab w:val="num" w:pos="43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  <w:tabs>
          <w:tab w:val="num" w:pos="51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  <w:tabs>
          <w:tab w:val="num" w:pos="58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  <w:tabs>
          <w:tab w:val="num" w:pos="6555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 "/>
      <w:legacy w:legacy="1" w:legacyIndent="283" w:legacySpace="0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 "/>
      <w:legacy w:legacy="1" w:legacyIndent="283" w:legacySpace="0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20" w:hanging="360"/>
        <w:tabs>
          <w:tab w:val="num" w:pos="4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  <w:tabs>
          <w:tab w:val="num" w:pos="11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  <w:tabs>
          <w:tab w:val="num" w:pos="18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  <w:tabs>
          <w:tab w:val="num" w:pos="25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  <w:tabs>
          <w:tab w:val="num" w:pos="33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  <w:tabs>
          <w:tab w:val="num" w:pos="40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  <w:tabs>
          <w:tab w:val="num" w:pos="47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  <w:tabs>
          <w:tab w:val="num" w:pos="54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  <w:tabs>
          <w:tab w:val="num" w:pos="61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0" w:hanging="1230"/>
        <w:tabs>
          <w:tab w:val="num" w:pos="213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7"/>
  </w:num>
  <w:num w:numId="5">
    <w:abstractNumId w:val="16"/>
  </w:num>
  <w:num w:numId="6">
    <w:abstractNumId w:val="6"/>
  </w:num>
  <w:num w:numId="7">
    <w:abstractNumId w:val="18"/>
  </w:num>
  <w:num w:numId="8">
    <w:abstractNumId w:val="4"/>
  </w:num>
  <w:num w:numId="9">
    <w:abstractNumId w:val="0"/>
    <w:lvlOverride w:ilvl="0">
      <w:lvl w:ilvl="0">
        <w:start w:val="1"/>
        <w:numFmt w:val="bullet"/>
        <w:isLgl w:val="false"/>
        <w:suff w:val="tab"/>
        <w:lvlText w:val=""/>
        <w:legacy w:legacy="1" w:legacyIndent="360" w:legacySpace="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20"/>
  </w:num>
  <w:num w:numId="11">
    <w:abstractNumId w:val="15"/>
  </w:num>
  <w:num w:numId="12">
    <w:abstractNumId w:val="8"/>
  </w:num>
  <w:num w:numId="13">
    <w:abstractNumId w:val="19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4"/>
  </w:num>
  <w:num w:numId="19">
    <w:abstractNumId w:val="11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7"/>
    <w:link w:val="70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7"/>
    <w:link w:val="70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7"/>
    <w:link w:val="70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7"/>
    <w:link w:val="70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7"/>
    <w:link w:val="705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7"/>
    <w:link w:val="706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00"/>
    <w:next w:val="7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7"/>
    <w:link w:val="32"/>
    <w:uiPriority w:val="10"/>
    <w:rPr>
      <w:sz w:val="48"/>
      <w:szCs w:val="48"/>
    </w:rPr>
  </w:style>
  <w:style w:type="character" w:styleId="35">
    <w:name w:val="Subtitle Char"/>
    <w:basedOn w:val="707"/>
    <w:link w:val="715"/>
    <w:uiPriority w:val="11"/>
    <w:rPr>
      <w:sz w:val="24"/>
      <w:szCs w:val="24"/>
    </w:rPr>
  </w:style>
  <w:style w:type="paragraph" w:styleId="36">
    <w:name w:val="Quote"/>
    <w:basedOn w:val="700"/>
    <w:next w:val="7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0"/>
    <w:next w:val="7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7"/>
    <w:link w:val="725"/>
    <w:uiPriority w:val="99"/>
  </w:style>
  <w:style w:type="character" w:styleId="43">
    <w:name w:val="Footer Char"/>
    <w:basedOn w:val="707"/>
    <w:link w:val="724"/>
    <w:uiPriority w:val="99"/>
  </w:style>
  <w:style w:type="paragraph" w:styleId="44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24"/>
    <w:uiPriority w:val="99"/>
  </w:style>
  <w:style w:type="table" w:styleId="47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39"/>
    <w:uiPriority w:val="99"/>
    <w:rPr>
      <w:sz w:val="18"/>
    </w:rPr>
  </w:style>
  <w:style w:type="paragraph" w:styleId="176">
    <w:name w:val="endnote text"/>
    <w:basedOn w:val="7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7"/>
    <w:uiPriority w:val="99"/>
    <w:semiHidden/>
    <w:unhideWhenUsed/>
    <w:rPr>
      <w:vertAlign w:val="superscript"/>
    </w:rPr>
  </w:style>
  <w:style w:type="paragraph" w:styleId="179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rPr>
      <w:sz w:val="24"/>
      <w:szCs w:val="24"/>
    </w:rPr>
  </w:style>
  <w:style w:type="paragraph" w:styleId="701">
    <w:name w:val="Heading 1"/>
    <w:basedOn w:val="700"/>
    <w:next w:val="700"/>
    <w:qFormat/>
    <w:pPr>
      <w:jc w:val="center"/>
      <w:keepNext/>
      <w:outlineLvl w:val="0"/>
    </w:pPr>
    <w:rPr>
      <w:b/>
      <w:sz w:val="26"/>
      <w:szCs w:val="20"/>
    </w:rPr>
  </w:style>
  <w:style w:type="paragraph" w:styleId="702">
    <w:name w:val="Heading 2"/>
    <w:basedOn w:val="700"/>
    <w:next w:val="700"/>
    <w:qFormat/>
    <w:pPr>
      <w:jc w:val="both"/>
      <w:keepNext/>
      <w:outlineLvl w:val="1"/>
    </w:pPr>
    <w:rPr>
      <w:b/>
      <w:bCs/>
    </w:rPr>
  </w:style>
  <w:style w:type="paragraph" w:styleId="703">
    <w:name w:val="Heading 3"/>
    <w:basedOn w:val="700"/>
    <w:next w:val="700"/>
    <w:qFormat/>
    <w:pPr>
      <w:jc w:val="both"/>
      <w:keepNext/>
      <w:outlineLvl w:val="2"/>
    </w:pPr>
    <w:rPr>
      <w:b/>
      <w:sz w:val="28"/>
    </w:rPr>
  </w:style>
  <w:style w:type="paragraph" w:styleId="704">
    <w:name w:val="Heading 4"/>
    <w:basedOn w:val="700"/>
    <w:next w:val="700"/>
    <w:qFormat/>
    <w:pPr>
      <w:jc w:val="center"/>
      <w:keepNext/>
      <w:outlineLvl w:val="3"/>
    </w:pPr>
    <w:rPr>
      <w:b/>
      <w:sz w:val="28"/>
    </w:rPr>
  </w:style>
  <w:style w:type="paragraph" w:styleId="705">
    <w:name w:val="Heading 5"/>
    <w:basedOn w:val="700"/>
    <w:next w:val="700"/>
    <w:qFormat/>
    <w:pPr>
      <w:ind w:firstLine="708"/>
      <w:jc w:val="both"/>
      <w:keepNext/>
      <w:outlineLvl w:val="4"/>
    </w:pPr>
    <w:rPr>
      <w:b/>
      <w:sz w:val="28"/>
      <w:szCs w:val="28"/>
    </w:rPr>
  </w:style>
  <w:style w:type="paragraph" w:styleId="706">
    <w:name w:val="Heading 8"/>
    <w:basedOn w:val="700"/>
    <w:next w:val="700"/>
    <w:qFormat/>
    <w:pPr>
      <w:jc w:val="right"/>
      <w:keepNext/>
      <w:outlineLvl w:val="7"/>
    </w:pPr>
    <w:rPr>
      <w:sz w:val="26"/>
      <w:szCs w:val="20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Body Text Indent 2"/>
    <w:basedOn w:val="700"/>
    <w:pPr>
      <w:ind w:left="705"/>
      <w:jc w:val="center"/>
    </w:pPr>
    <w:rPr>
      <w:sz w:val="28"/>
    </w:rPr>
  </w:style>
  <w:style w:type="paragraph" w:styleId="711" w:customStyle="1">
    <w:name w:val="Знак Знак Знак Знак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paragraph" w:styleId="712" w:customStyle="1">
    <w:name w:val="Заголовок1"/>
    <w:basedOn w:val="700"/>
    <w:qFormat/>
    <w:pPr>
      <w:ind w:left="5387"/>
      <w:jc w:val="center"/>
    </w:pPr>
    <w:rPr>
      <w:sz w:val="28"/>
      <w:szCs w:val="20"/>
    </w:rPr>
  </w:style>
  <w:style w:type="paragraph" w:styleId="713">
    <w:name w:val="Body Text"/>
    <w:basedOn w:val="700"/>
    <w:pPr>
      <w:spacing w:after="120"/>
    </w:pPr>
  </w:style>
  <w:style w:type="paragraph" w:styleId="714">
    <w:name w:val="Body Text Indent 3"/>
    <w:basedOn w:val="700"/>
    <w:pPr>
      <w:ind w:left="283"/>
      <w:spacing w:after="120"/>
    </w:pPr>
    <w:rPr>
      <w:sz w:val="16"/>
      <w:szCs w:val="16"/>
    </w:rPr>
  </w:style>
  <w:style w:type="paragraph" w:styleId="715">
    <w:name w:val="Subtitle"/>
    <w:basedOn w:val="700"/>
    <w:qFormat/>
    <w:pPr>
      <w:jc w:val="center"/>
      <w:tabs>
        <w:tab w:val="left" w:pos="0" w:leader="none"/>
      </w:tabs>
    </w:pPr>
    <w:rPr>
      <w:b/>
      <w:sz w:val="28"/>
    </w:rPr>
  </w:style>
  <w:style w:type="paragraph" w:styleId="716">
    <w:name w:val="Body Text 2"/>
    <w:basedOn w:val="700"/>
    <w:pPr>
      <w:ind w:firstLine="720"/>
      <w:jc w:val="both"/>
      <w:widowControl w:val="off"/>
    </w:pPr>
    <w:rPr>
      <w:sz w:val="28"/>
      <w:szCs w:val="20"/>
    </w:rPr>
  </w:style>
  <w:style w:type="paragraph" w:styleId="717" w:customStyle="1">
    <w:name w:val="Основной-2"/>
    <w:pPr>
      <w:ind w:firstLine="170"/>
      <w:jc w:val="both"/>
    </w:pPr>
    <w:rPr>
      <w:rFonts w:ascii="Гельветика" w:hAnsi="Гельветика"/>
      <w:sz w:val="17"/>
    </w:rPr>
  </w:style>
  <w:style w:type="paragraph" w:styleId="718" w:customStyle="1">
    <w:name w:val="Iau?iue"/>
    <w:pPr>
      <w:widowControl w:val="off"/>
    </w:pPr>
  </w:style>
  <w:style w:type="paragraph" w:styleId="719">
    <w:name w:val="Body Text Indent"/>
    <w:basedOn w:val="700"/>
    <w:pPr>
      <w:ind w:firstLine="567"/>
      <w:jc w:val="both"/>
    </w:pPr>
    <w:rPr>
      <w:i/>
      <w:sz w:val="28"/>
      <w:szCs w:val="20"/>
    </w:rPr>
  </w:style>
  <w:style w:type="paragraph" w:styleId="720">
    <w:name w:val="Body Text 3"/>
    <w:basedOn w:val="700"/>
    <w:pPr>
      <w:spacing w:after="120"/>
    </w:pPr>
    <w:rPr>
      <w:sz w:val="16"/>
      <w:szCs w:val="16"/>
    </w:rPr>
  </w:style>
  <w:style w:type="paragraph" w:styleId="721" w:customStyle="1">
    <w:name w:val="Обычный1"/>
    <w:pPr>
      <w:widowControl w:val="off"/>
    </w:pPr>
    <w:rPr>
      <w:rFonts w:ascii="Arial" w:hAnsi="Arial"/>
    </w:rPr>
  </w:style>
  <w:style w:type="paragraph" w:styleId="722" w:customStyle="1">
    <w:name w:val="Основной текст с отступом 21"/>
    <w:basedOn w:val="700"/>
    <w:pPr>
      <w:ind w:firstLine="360"/>
      <w:widowControl w:val="off"/>
    </w:pPr>
    <w:rPr>
      <w:sz w:val="28"/>
      <w:szCs w:val="20"/>
    </w:rPr>
  </w:style>
  <w:style w:type="character" w:styleId="723">
    <w:name w:val="page number"/>
    <w:basedOn w:val="707"/>
  </w:style>
  <w:style w:type="paragraph" w:styleId="724">
    <w:name w:val="Footer"/>
    <w:basedOn w:val="700"/>
    <w:pPr>
      <w:tabs>
        <w:tab w:val="center" w:pos="4677" w:leader="none"/>
        <w:tab w:val="right" w:pos="9355" w:leader="none"/>
      </w:tabs>
    </w:pPr>
  </w:style>
  <w:style w:type="paragraph" w:styleId="725">
    <w:name w:val="Header"/>
    <w:basedOn w:val="700"/>
    <w:link w:val="738"/>
    <w:uiPriority w:val="99"/>
    <w:pPr>
      <w:tabs>
        <w:tab w:val="center" w:pos="4677" w:leader="none"/>
        <w:tab w:val="right" w:pos="9355" w:leader="none"/>
      </w:tabs>
    </w:pPr>
  </w:style>
  <w:style w:type="paragraph" w:styleId="726" w:customStyle="1">
    <w:name w:val="Знак Знак Знак Знак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paragraph" w:styleId="727">
    <w:name w:val="HTML Preformatted"/>
    <w:basedOn w:val="70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="Courier New"/>
      <w:color w:val="000000"/>
      <w:sz w:val="22"/>
      <w:szCs w:val="22"/>
    </w:rPr>
  </w:style>
  <w:style w:type="character" w:styleId="728" w:customStyle="1">
    <w:name w:val="Знак Знак"/>
    <w:rPr>
      <w:rFonts w:ascii="Courier New" w:hAnsi="Courier New" w:cs="Courier New" w:eastAsia="Courier New"/>
      <w:color w:val="000000"/>
      <w:sz w:val="22"/>
      <w:szCs w:val="22"/>
      <w:lang w:val="ru-RU" w:bidi="ar-SA" w:eastAsia="ru-RU"/>
    </w:rPr>
  </w:style>
  <w:style w:type="paragraph" w:styleId="729" w:customStyle="1">
    <w:name w:val="Char Char"/>
    <w:basedOn w:val="700"/>
    <w:next w:val="702"/>
    <w:pPr>
      <w:spacing w:after="160" w:line="240" w:lineRule="exact"/>
    </w:pPr>
    <w:rPr>
      <w:szCs w:val="20"/>
      <w:lang w:val="en-US" w:eastAsia="en-US"/>
    </w:rPr>
  </w:style>
  <w:style w:type="paragraph" w:styleId="730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paragraph" w:styleId="731" w:customStyle="1">
    <w:name w:val="Обычный (Интернет)"/>
    <w:basedOn w:val="700"/>
    <w:uiPriority w:val="99"/>
    <w:unhideWhenUsed/>
    <w:pPr>
      <w:spacing w:before="100" w:beforeAutospacing="1" w:after="100" w:afterAutospacing="1"/>
    </w:pPr>
  </w:style>
  <w:style w:type="paragraph" w:styleId="732" w:customStyle="1">
    <w:name w:val="Знак Знак Знак Знак Знак Знак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paragraph" w:styleId="733" w:customStyle="1">
    <w:name w:val="Char Char"/>
    <w:basedOn w:val="700"/>
    <w:next w:val="702"/>
    <w:pPr>
      <w:spacing w:after="160" w:line="240" w:lineRule="exact"/>
    </w:pPr>
    <w:rPr>
      <w:szCs w:val="20"/>
      <w:lang w:val="en-US" w:eastAsia="en-US"/>
    </w:rPr>
  </w:style>
  <w:style w:type="paragraph" w:styleId="734" w:customStyle="1">
    <w:name w:val="1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paragraph" w:styleId="735">
    <w:name w:val="Balloon Text"/>
    <w:basedOn w:val="700"/>
    <w:semiHidden/>
    <w:rPr>
      <w:rFonts w:ascii="Tahoma" w:hAnsi="Tahoma" w:cs="Tahoma"/>
      <w:sz w:val="16"/>
      <w:szCs w:val="16"/>
    </w:rPr>
  </w:style>
  <w:style w:type="paragraph" w:styleId="736">
    <w:name w:val="No Spacing"/>
    <w:uiPriority w:val="1"/>
    <w:qFormat/>
    <w:rPr>
      <w:sz w:val="24"/>
      <w:szCs w:val="24"/>
    </w:rPr>
  </w:style>
  <w:style w:type="paragraph" w:styleId="737" w:customStyle="1">
    <w:name w:val="Знак"/>
    <w:basedOn w:val="700"/>
    <w:pPr>
      <w:spacing w:after="160" w:line="240" w:lineRule="exact"/>
    </w:pPr>
    <w:rPr>
      <w:sz w:val="28"/>
      <w:szCs w:val="20"/>
      <w:lang w:val="en-US" w:eastAsia="en-US"/>
    </w:rPr>
  </w:style>
  <w:style w:type="character" w:styleId="738" w:customStyle="1">
    <w:name w:val="Верхний колонтитул Знак"/>
    <w:link w:val="725"/>
    <w:uiPriority w:val="99"/>
    <w:rPr>
      <w:sz w:val="24"/>
      <w:szCs w:val="24"/>
    </w:rPr>
  </w:style>
  <w:style w:type="paragraph" w:styleId="739">
    <w:name w:val="footnote text"/>
    <w:basedOn w:val="700"/>
    <w:link w:val="740"/>
    <w:rPr>
      <w:sz w:val="20"/>
      <w:szCs w:val="20"/>
    </w:rPr>
  </w:style>
  <w:style w:type="character" w:styleId="740" w:customStyle="1">
    <w:name w:val="Текст сноски Знак"/>
    <w:basedOn w:val="707"/>
    <w:link w:val="739"/>
  </w:style>
  <w:style w:type="character" w:styleId="741">
    <w:name w:val="footnote reference"/>
    <w:rPr>
      <w:vertAlign w:val="superscript"/>
    </w:rPr>
  </w:style>
  <w:style w:type="table" w:styleId="742">
    <w:name w:val="Table Grid"/>
    <w:basedOn w:val="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3">
    <w:name w:val="Normal (Web)"/>
    <w:basedOn w:val="700"/>
    <w:uiPriority w:val="99"/>
    <w:unhideWhenUsed/>
    <w:qFormat/>
    <w:pPr>
      <w:spacing w:before="100" w:beforeAutospacing="1" w:after="100" w:afterAutospacing="1"/>
    </w:pPr>
  </w:style>
  <w:style w:type="paragraph" w:styleId="744">
    <w:name w:val="List Paragraph"/>
    <w:basedOn w:val="7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Relationship Id="rId11" Type="http://schemas.openxmlformats.org/officeDocument/2006/relationships/image" Target="media/image1.png"/><Relationship Id="rId904" Type="http://schemas.openxmlformats.org/officeDocument/2006/relationships/image" Target="media/image90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09C607C-E011-43DD-B626-431A0194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AREM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y.nurumov</dc:creator>
  <cp:lastModifiedBy>Жумабаева Нурайлым Сайлаубековна</cp:lastModifiedBy>
  <cp:revision>29</cp:revision>
  <dcterms:created xsi:type="dcterms:W3CDTF">2022-09-20T04:28:00Z</dcterms:created>
  <dcterms:modified xsi:type="dcterms:W3CDTF">2025-12-09T11:56:36Z</dcterms:modified>
</cp:coreProperties>
</file>